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7Colorfu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10533"/>
      </w:tblGrid>
      <w:tr w:rsidR="00DE50B6" w:rsidRPr="00DE50B6" w14:paraId="1312FCAB" w14:textId="77777777" w:rsidTr="00741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15" w:type="dxa"/>
            <w:tcBorders>
              <w:bottom w:val="none" w:sz="0" w:space="0" w:color="auto"/>
              <w:right w:val="none" w:sz="0" w:space="0" w:color="auto"/>
            </w:tcBorders>
          </w:tcPr>
          <w:p w14:paraId="5393A3C8" w14:textId="77777777" w:rsidR="00DE50B6" w:rsidRPr="0074119F" w:rsidRDefault="00DE50B6" w:rsidP="00234CDC">
            <w:pPr>
              <w:jc w:val="left"/>
              <w:rPr>
                <w:rFonts w:ascii="Arial" w:hAnsi="Arial" w:cs="Arial"/>
              </w:rPr>
            </w:pPr>
            <w:bookmarkStart w:id="0" w:name="_GoBack"/>
            <w:bookmarkEnd w:id="0"/>
            <w:r w:rsidRPr="0074119F">
              <w:rPr>
                <w:rFonts w:ascii="Arial" w:hAnsi="Arial" w:cs="Arial"/>
              </w:rPr>
              <w:t>Academy</w:t>
            </w:r>
          </w:p>
        </w:tc>
        <w:tc>
          <w:tcPr>
            <w:tcW w:w="10533" w:type="dxa"/>
            <w:tcBorders>
              <w:bottom w:val="none" w:sz="0" w:space="0" w:color="auto"/>
            </w:tcBorders>
          </w:tcPr>
          <w:p w14:paraId="61FF1D46" w14:textId="663C10BD" w:rsidR="00DE50B6" w:rsidRPr="00DE50B6" w:rsidRDefault="00E42EEF" w:rsidP="006835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Oasis Academy</w:t>
            </w:r>
            <w:r w:rsidR="003908E7">
              <w:t xml:space="preserve"> Foundry</w:t>
            </w:r>
          </w:p>
        </w:tc>
      </w:tr>
      <w:tr w:rsidR="00DE50B6" w:rsidRPr="00DE50B6" w14:paraId="6B9B41CB" w14:textId="77777777" w:rsidTr="00741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right w:val="none" w:sz="0" w:space="0" w:color="auto"/>
            </w:tcBorders>
          </w:tcPr>
          <w:p w14:paraId="5A73F7B9" w14:textId="77777777" w:rsidR="00DE50B6" w:rsidRPr="0074119F" w:rsidRDefault="00DE50B6" w:rsidP="00234CDC">
            <w:pPr>
              <w:jc w:val="left"/>
              <w:rPr>
                <w:rFonts w:ascii="Arial" w:hAnsi="Arial" w:cs="Arial"/>
              </w:rPr>
            </w:pPr>
            <w:r w:rsidRPr="0074119F">
              <w:rPr>
                <w:rFonts w:ascii="Arial" w:hAnsi="Arial" w:cs="Arial"/>
              </w:rPr>
              <w:t>Academic year</w:t>
            </w:r>
          </w:p>
        </w:tc>
        <w:tc>
          <w:tcPr>
            <w:tcW w:w="10533" w:type="dxa"/>
            <w:shd w:val="clear" w:color="auto" w:fill="auto"/>
          </w:tcPr>
          <w:p w14:paraId="2DF3589D" w14:textId="77777777" w:rsidR="00DE50B6" w:rsidRPr="00DE50B6" w:rsidRDefault="00E42EEF" w:rsidP="00683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2020-2021</w:t>
            </w:r>
          </w:p>
        </w:tc>
      </w:tr>
      <w:tr w:rsidR="00DE50B6" w:rsidRPr="00DE50B6" w14:paraId="167A3944" w14:textId="77777777" w:rsidTr="00741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right w:val="none" w:sz="0" w:space="0" w:color="auto"/>
            </w:tcBorders>
          </w:tcPr>
          <w:p w14:paraId="3E3802E1" w14:textId="77777777" w:rsidR="00DE50B6" w:rsidRPr="0074119F" w:rsidRDefault="00DE50B6" w:rsidP="00234CDC">
            <w:pPr>
              <w:jc w:val="left"/>
              <w:rPr>
                <w:rFonts w:ascii="Arial" w:hAnsi="Arial" w:cs="Arial"/>
              </w:rPr>
            </w:pPr>
            <w:r w:rsidRPr="0074119F">
              <w:rPr>
                <w:rFonts w:ascii="Arial" w:hAnsi="Arial" w:cs="Arial"/>
              </w:rPr>
              <w:t>Total catch up premium amount</w:t>
            </w:r>
          </w:p>
        </w:tc>
        <w:tc>
          <w:tcPr>
            <w:tcW w:w="10533" w:type="dxa"/>
          </w:tcPr>
          <w:p w14:paraId="6720E9E1" w14:textId="55C08469" w:rsidR="005F2D56" w:rsidRDefault="0068351D" w:rsidP="00683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 allocation £</w:t>
            </w:r>
            <w:r w:rsidR="00D8336A">
              <w:t>23140</w:t>
            </w:r>
          </w:p>
          <w:tbl>
            <w:tblPr>
              <w:tblW w:w="4272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1180"/>
              <w:gridCol w:w="1240"/>
              <w:gridCol w:w="960"/>
              <w:gridCol w:w="892"/>
            </w:tblGrid>
            <w:tr w:rsidR="005F2D56" w:rsidRPr="005F2D56" w14:paraId="3BB0E1CE" w14:textId="77777777" w:rsidTr="00A01C65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4B95C0A" w14:textId="5C8F8BAD" w:rsidR="005F2D56" w:rsidRPr="005F2D56" w:rsidRDefault="005F2D56" w:rsidP="005F2D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60CDCC7" w14:textId="0B51A200" w:rsidR="005F2D56" w:rsidRPr="005F2D56" w:rsidRDefault="005F2D56" w:rsidP="005F2D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67E7C8F" w14:textId="77777777" w:rsidR="005F2D56" w:rsidRPr="005F2D56" w:rsidRDefault="005F2D56" w:rsidP="005F2D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D7D519E" w14:textId="3CA409CF" w:rsidR="005F2D56" w:rsidRPr="005F2D56" w:rsidRDefault="005F2D56" w:rsidP="005F2D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14:paraId="05D34E94" w14:textId="1E9C2415" w:rsidR="00DE50B6" w:rsidRPr="00DE50B6" w:rsidRDefault="0068351D" w:rsidP="00683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</w:t>
            </w:r>
          </w:p>
        </w:tc>
      </w:tr>
      <w:tr w:rsidR="00DE50B6" w:rsidRPr="00DE50B6" w14:paraId="300C1147" w14:textId="77777777" w:rsidTr="00741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right w:val="none" w:sz="0" w:space="0" w:color="auto"/>
            </w:tcBorders>
          </w:tcPr>
          <w:p w14:paraId="69F3B3B4" w14:textId="77777777" w:rsidR="00DE50B6" w:rsidRPr="0074119F" w:rsidRDefault="00DE50B6" w:rsidP="00234CDC">
            <w:pPr>
              <w:jc w:val="left"/>
              <w:rPr>
                <w:rFonts w:ascii="Arial" w:hAnsi="Arial" w:cs="Arial"/>
              </w:rPr>
            </w:pPr>
            <w:r w:rsidRPr="0074119F">
              <w:rPr>
                <w:rFonts w:ascii="Arial" w:hAnsi="Arial" w:cs="Arial"/>
              </w:rPr>
              <w:t>Number of pupils</w:t>
            </w:r>
          </w:p>
          <w:p w14:paraId="4541DD9A" w14:textId="77777777" w:rsidR="002F097B" w:rsidRPr="0074119F" w:rsidRDefault="002F097B" w:rsidP="00234CD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0533" w:type="dxa"/>
            <w:shd w:val="clear" w:color="auto" w:fill="auto"/>
          </w:tcPr>
          <w:p w14:paraId="0ADF354A" w14:textId="0C29927B" w:rsidR="00DE50B6" w:rsidRPr="00DE50B6" w:rsidRDefault="006144A1" w:rsidP="00683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532DD8">
              <w:t xml:space="preserve">00 </w:t>
            </w:r>
            <w:r w:rsidR="0068351D">
              <w:t xml:space="preserve">on roll </w:t>
            </w:r>
            <w:r w:rsidR="00532DD8">
              <w:t>R-Y6</w:t>
            </w:r>
          </w:p>
        </w:tc>
      </w:tr>
      <w:tr w:rsidR="003B69B3" w14:paraId="5920DD34" w14:textId="77777777" w:rsidTr="00741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right w:val="none" w:sz="0" w:space="0" w:color="auto"/>
            </w:tcBorders>
          </w:tcPr>
          <w:p w14:paraId="59FFAFE0" w14:textId="77777777" w:rsidR="003B69B3" w:rsidRPr="0074119F" w:rsidRDefault="003B69B3" w:rsidP="00234CDC">
            <w:pPr>
              <w:jc w:val="left"/>
              <w:rPr>
                <w:rFonts w:ascii="Arial" w:hAnsi="Arial" w:cs="Arial"/>
              </w:rPr>
            </w:pPr>
            <w:r w:rsidRPr="0074119F">
              <w:rPr>
                <w:rFonts w:ascii="Arial" w:hAnsi="Arial" w:cs="Arial"/>
              </w:rPr>
              <w:t>Guidance</w:t>
            </w:r>
          </w:p>
        </w:tc>
        <w:tc>
          <w:tcPr>
            <w:tcW w:w="10533" w:type="dxa"/>
          </w:tcPr>
          <w:p w14:paraId="410B1179" w14:textId="51128F25" w:rsidR="003B69B3" w:rsidRDefault="00021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Academy catch up funding</w:t>
            </w:r>
            <w:r w:rsidR="003B69B3">
              <w:t xml:space="preserve"> allocation</w:t>
            </w:r>
            <w:r>
              <w:t>s</w:t>
            </w:r>
            <w:r w:rsidR="003B69B3">
              <w:t xml:space="preserve"> </w:t>
            </w:r>
            <w:r>
              <w:t>are</w:t>
            </w:r>
            <w:r w:rsidR="003B69B3">
              <w:t xml:space="preserve"> calculated on a per pupil basis providing each academy with £80 per child from Reception to Y11.</w:t>
            </w:r>
            <w:r>
              <w:t xml:space="preserve"> </w:t>
            </w:r>
            <w:r w:rsidR="003B69B3">
              <w:t xml:space="preserve">The funding is </w:t>
            </w:r>
            <w:r w:rsidR="008C07BB">
              <w:t>designed</w:t>
            </w:r>
            <w:r w:rsidR="003B69B3">
              <w:t xml:space="preserve"> to mitigate the effects of the unique and disruptive effects of the global pandemic.</w:t>
            </w:r>
          </w:p>
          <w:p w14:paraId="60AA146A" w14:textId="77777777" w:rsidR="002F097B" w:rsidRDefault="002F0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DE0EF4" w14:textId="77777777" w:rsidR="00423E64" w:rsidRDefault="00423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97B">
              <w:t>As a Trust OCL has partnered nationally with Teach First to provide extra teachers across our academies</w:t>
            </w:r>
            <w:r w:rsidR="005E6E59" w:rsidRPr="002F097B">
              <w:t xml:space="preserve"> as a response to Covid</w:t>
            </w:r>
            <w:r w:rsidRPr="002F097B">
              <w:t>. Details of deployment</w:t>
            </w:r>
            <w:r w:rsidR="000E1D7F">
              <w:t>, cost</w:t>
            </w:r>
            <w:r w:rsidRPr="002F097B">
              <w:t xml:space="preserve"> and </w:t>
            </w:r>
            <w:r w:rsidR="000E1D7F">
              <w:t>intended impact must</w:t>
            </w:r>
            <w:r w:rsidR="005E6E59" w:rsidRPr="002F097B">
              <w:t xml:space="preserve"> </w:t>
            </w:r>
            <w:r w:rsidR="00021998">
              <w:t xml:space="preserve">be </w:t>
            </w:r>
            <w:r w:rsidR="005E6E59" w:rsidRPr="002F097B">
              <w:t>included below.</w:t>
            </w:r>
            <w:r w:rsidR="005E6E59">
              <w:t xml:space="preserve"> </w:t>
            </w:r>
          </w:p>
          <w:p w14:paraId="1CF0AECA" w14:textId="77777777" w:rsidR="00021998" w:rsidRDefault="00021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6E3081" w14:textId="77777777" w:rsidR="00021998" w:rsidRDefault="00021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order to fund the deployment of a teach first teacher at every academy, the catch-up funding was pooled. The costs of a teach first placement (at a discount of 33%) across 52 academies was deducted from the total funds allocated to OCL. The remaining funding was allocated on a pro rata tiered basis according to the size of each academy. The “total catch-up premium amount” referred to above is the amount received by the academy to fund their allocated teacher plus the residual amount of funding allocated pro-rata. </w:t>
            </w:r>
          </w:p>
          <w:p w14:paraId="1647BCC0" w14:textId="77777777" w:rsidR="0074119F" w:rsidRDefault="00741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CD2EA5B" w14:textId="77777777" w:rsidR="0074119F" w:rsidRDefault="0074119F">
      <w:pPr>
        <w:rPr>
          <w:b/>
          <w:bCs/>
        </w:rPr>
      </w:pPr>
    </w:p>
    <w:p w14:paraId="2275966D" w14:textId="77777777" w:rsidR="0074119F" w:rsidRPr="0074119F" w:rsidRDefault="0074119F">
      <w:pPr>
        <w:rPr>
          <w:rFonts w:ascii="Arial" w:hAnsi="Arial" w:cs="Arial"/>
          <w:b/>
          <w:bCs/>
          <w:sz w:val="28"/>
          <w:szCs w:val="28"/>
        </w:rPr>
      </w:pPr>
      <w:r w:rsidRPr="0074119F">
        <w:rPr>
          <w:rFonts w:ascii="Arial" w:hAnsi="Arial" w:cs="Arial"/>
          <w:b/>
          <w:bCs/>
          <w:sz w:val="28"/>
          <w:szCs w:val="28"/>
        </w:rPr>
        <w:t>Use of funds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3B69B3" w:rsidRPr="0074119F" w14:paraId="38C8C5C3" w14:textId="77777777" w:rsidTr="00855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1418A69F" w14:textId="77777777" w:rsidR="003B69B3" w:rsidRPr="0074119F" w:rsidRDefault="003B69B3" w:rsidP="00234CDC">
            <w:pPr>
              <w:rPr>
                <w:rFonts w:ascii="Arial" w:hAnsi="Arial" w:cs="Arial"/>
              </w:rPr>
            </w:pPr>
            <w:r w:rsidRPr="0074119F">
              <w:rPr>
                <w:rFonts w:ascii="Arial" w:hAnsi="Arial" w:cs="Arial"/>
              </w:rPr>
              <w:t>Use of funds</w:t>
            </w:r>
          </w:p>
        </w:tc>
        <w:tc>
          <w:tcPr>
            <w:tcW w:w="6974" w:type="dxa"/>
          </w:tcPr>
          <w:p w14:paraId="10BCDF22" w14:textId="77777777" w:rsidR="003B69B3" w:rsidRPr="0074119F" w:rsidRDefault="003B69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119F">
              <w:rPr>
                <w:rFonts w:ascii="Arial" w:hAnsi="Arial" w:cs="Arial"/>
              </w:rPr>
              <w:t xml:space="preserve">EEF guidance </w:t>
            </w:r>
            <w:r w:rsidR="00A45B49" w:rsidRPr="0074119F">
              <w:rPr>
                <w:rFonts w:ascii="Arial" w:hAnsi="Arial" w:cs="Arial"/>
              </w:rPr>
              <w:t>– tailor to those selected</w:t>
            </w:r>
          </w:p>
        </w:tc>
      </w:tr>
      <w:tr w:rsidR="003B69B3" w14:paraId="691C267E" w14:textId="77777777" w:rsidTr="00855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09579C57" w14:textId="77777777" w:rsidR="003B69B3" w:rsidRDefault="003B69B3"/>
        </w:tc>
        <w:tc>
          <w:tcPr>
            <w:tcW w:w="6974" w:type="dxa"/>
          </w:tcPr>
          <w:p w14:paraId="01156890" w14:textId="77777777" w:rsidR="00DE50B6" w:rsidRPr="0074119F" w:rsidRDefault="00A45B49" w:rsidP="00DE5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119F">
              <w:rPr>
                <w:rFonts w:ascii="Arial" w:eastAsia="Times New Roman" w:hAnsi="Arial" w:cs="Arial"/>
                <w:color w:val="000000"/>
                <w:lang w:eastAsia="en-GB"/>
              </w:rPr>
              <w:t>The EEF areas used</w:t>
            </w:r>
            <w:r w:rsidR="00DE50B6" w:rsidRPr="0074119F">
              <w:rPr>
                <w:rFonts w:ascii="Arial" w:eastAsia="Times New Roman" w:hAnsi="Arial" w:cs="Arial"/>
                <w:color w:val="000000"/>
                <w:lang w:eastAsia="en-GB"/>
              </w:rPr>
              <w:t>:</w:t>
            </w:r>
          </w:p>
          <w:p w14:paraId="2D58FD35" w14:textId="77777777" w:rsidR="00DE50B6" w:rsidRPr="00A45B49" w:rsidRDefault="00A45B49" w:rsidP="00DE5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A45B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For example</w:t>
            </w:r>
          </w:p>
          <w:p w14:paraId="49F6AA21" w14:textId="77777777" w:rsidR="00DE50B6" w:rsidRPr="0074119F" w:rsidRDefault="00DE50B6" w:rsidP="00DE5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119F">
              <w:rPr>
                <w:rFonts w:ascii="Arial" w:eastAsia="Times New Roman" w:hAnsi="Arial" w:cs="Arial"/>
                <w:color w:val="000000"/>
                <w:lang w:eastAsia="en-GB"/>
              </w:rPr>
              <w:t>Te</w:t>
            </w:r>
            <w:r w:rsidRPr="007411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aching and whole school strategies </w:t>
            </w:r>
          </w:p>
          <w:p w14:paraId="16E98B18" w14:textId="77777777" w:rsidR="00DE50B6" w:rsidRPr="0074119F" w:rsidRDefault="00DE50B6" w:rsidP="00DE50B6">
            <w:pPr>
              <w:numPr>
                <w:ilvl w:val="0"/>
                <w:numId w:val="1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411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Supporting great teaching</w:t>
            </w:r>
          </w:p>
          <w:p w14:paraId="1889E473" w14:textId="77777777" w:rsidR="00DE50B6" w:rsidRPr="0074119F" w:rsidRDefault="00DE50B6" w:rsidP="00DE50B6">
            <w:pPr>
              <w:numPr>
                <w:ilvl w:val="0"/>
                <w:numId w:val="1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411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Pupil assessment and feedback </w:t>
            </w:r>
          </w:p>
          <w:p w14:paraId="7D0DC340" w14:textId="77777777" w:rsidR="00DE50B6" w:rsidRPr="0074119F" w:rsidRDefault="00DE50B6" w:rsidP="00DE50B6">
            <w:pPr>
              <w:numPr>
                <w:ilvl w:val="0"/>
                <w:numId w:val="1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411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Transition support</w:t>
            </w:r>
          </w:p>
          <w:p w14:paraId="1408664A" w14:textId="77777777" w:rsidR="00DE50B6" w:rsidRPr="0074119F" w:rsidRDefault="00DE50B6" w:rsidP="00DE5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148D810" w14:textId="77777777" w:rsidR="00DE50B6" w:rsidRPr="0074119F" w:rsidRDefault="00DE50B6" w:rsidP="00DE5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11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Targeted approaches </w:t>
            </w:r>
          </w:p>
          <w:p w14:paraId="0295939D" w14:textId="77777777" w:rsidR="00DE50B6" w:rsidRPr="0074119F" w:rsidRDefault="00DE50B6" w:rsidP="00DE50B6">
            <w:pPr>
              <w:numPr>
                <w:ilvl w:val="0"/>
                <w:numId w:val="2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411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One to one and small group tuition </w:t>
            </w:r>
          </w:p>
          <w:p w14:paraId="3F4CB18C" w14:textId="77777777" w:rsidR="00DE50B6" w:rsidRPr="0074119F" w:rsidRDefault="00DE50B6" w:rsidP="00DE50B6">
            <w:pPr>
              <w:numPr>
                <w:ilvl w:val="0"/>
                <w:numId w:val="2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411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Intervention programmes </w:t>
            </w:r>
          </w:p>
          <w:p w14:paraId="7C441496" w14:textId="77777777" w:rsidR="00DE50B6" w:rsidRPr="0074119F" w:rsidRDefault="00DE50B6" w:rsidP="00DE50B6">
            <w:pPr>
              <w:numPr>
                <w:ilvl w:val="0"/>
                <w:numId w:val="2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411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Extended school time</w:t>
            </w:r>
          </w:p>
          <w:p w14:paraId="5AD6AF55" w14:textId="77777777" w:rsidR="00DE50B6" w:rsidRPr="0074119F" w:rsidRDefault="00DE50B6" w:rsidP="00DE5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9113EFF" w14:textId="77777777" w:rsidR="00DE50B6" w:rsidRPr="0074119F" w:rsidRDefault="00DE50B6" w:rsidP="00DE5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11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Wider strategies </w:t>
            </w:r>
          </w:p>
          <w:p w14:paraId="25AAA4CA" w14:textId="77777777" w:rsidR="00DE50B6" w:rsidRPr="0074119F" w:rsidRDefault="00DE50B6" w:rsidP="00DE50B6">
            <w:pPr>
              <w:numPr>
                <w:ilvl w:val="0"/>
                <w:numId w:val="3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411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Supporting parent and carers </w:t>
            </w:r>
          </w:p>
          <w:p w14:paraId="1E809F71" w14:textId="77777777" w:rsidR="003B69B3" w:rsidRPr="0074119F" w:rsidRDefault="00DE50B6" w:rsidP="00234CDC">
            <w:pPr>
              <w:numPr>
                <w:ilvl w:val="0"/>
                <w:numId w:val="3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411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Access to technology </w:t>
            </w:r>
          </w:p>
          <w:p w14:paraId="47718585" w14:textId="77777777" w:rsidR="00234CDC" w:rsidRPr="00234CDC" w:rsidRDefault="00234CDC" w:rsidP="00234CDC">
            <w:pPr>
              <w:numPr>
                <w:ilvl w:val="0"/>
                <w:numId w:val="3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11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Summer support</w:t>
            </w:r>
          </w:p>
        </w:tc>
      </w:tr>
    </w:tbl>
    <w:p w14:paraId="77FD8E2E" w14:textId="77777777" w:rsidR="008554EC" w:rsidRDefault="008554EC" w:rsidP="00234CDC">
      <w:pPr>
        <w:spacing w:after="0" w:line="240" w:lineRule="auto"/>
        <w:rPr>
          <w:rFonts w:asciiTheme="majorHAnsi" w:eastAsiaTheme="majorEastAsia" w:hAnsiTheme="majorHAnsi" w:cstheme="majorBidi"/>
          <w:i/>
          <w:iCs/>
          <w:sz w:val="26"/>
        </w:rPr>
      </w:pPr>
    </w:p>
    <w:p w14:paraId="554475D1" w14:textId="77777777" w:rsidR="003B69B3" w:rsidRPr="0074119F" w:rsidRDefault="003B69B3" w:rsidP="00234CDC">
      <w:pPr>
        <w:spacing w:after="0" w:line="240" w:lineRule="auto"/>
        <w:rPr>
          <w:rFonts w:ascii="Arial" w:eastAsiaTheme="majorEastAsia" w:hAnsi="Arial" w:cs="Arial"/>
          <w:b/>
          <w:bCs/>
          <w:sz w:val="28"/>
          <w:szCs w:val="24"/>
        </w:rPr>
      </w:pPr>
      <w:r w:rsidRPr="0074119F">
        <w:rPr>
          <w:rFonts w:ascii="Arial" w:eastAsiaTheme="majorEastAsia" w:hAnsi="Arial" w:cs="Arial"/>
          <w:b/>
          <w:bCs/>
          <w:sz w:val="28"/>
          <w:szCs w:val="24"/>
        </w:rPr>
        <w:t xml:space="preserve">Identified </w:t>
      </w:r>
      <w:r w:rsidR="0074119F" w:rsidRPr="0074119F">
        <w:rPr>
          <w:rFonts w:ascii="Arial" w:eastAsiaTheme="majorEastAsia" w:hAnsi="Arial" w:cs="Arial"/>
          <w:b/>
          <w:bCs/>
          <w:sz w:val="28"/>
          <w:szCs w:val="24"/>
        </w:rPr>
        <w:t>i</w:t>
      </w:r>
      <w:r w:rsidRPr="0074119F">
        <w:rPr>
          <w:rFonts w:ascii="Arial" w:eastAsiaTheme="majorEastAsia" w:hAnsi="Arial" w:cs="Arial"/>
          <w:b/>
          <w:bCs/>
          <w:sz w:val="28"/>
          <w:szCs w:val="24"/>
        </w:rPr>
        <w:t>mpact of lockdown</w:t>
      </w:r>
    </w:p>
    <w:p w14:paraId="3E68BD8D" w14:textId="77777777" w:rsidR="0074119F" w:rsidRPr="00234CDC" w:rsidRDefault="0074119F" w:rsidP="00234CDC">
      <w:pPr>
        <w:spacing w:after="0" w:line="240" w:lineRule="auto"/>
        <w:rPr>
          <w:rFonts w:asciiTheme="majorHAnsi" w:eastAsiaTheme="majorEastAsia" w:hAnsiTheme="majorHAnsi" w:cstheme="majorBidi"/>
          <w:i/>
          <w:iCs/>
          <w:sz w:val="26"/>
        </w:rPr>
      </w:pPr>
    </w:p>
    <w:tbl>
      <w:tblPr>
        <w:tblStyle w:val="GridTable4-Accent4"/>
        <w:tblW w:w="5000" w:type="pct"/>
        <w:tblLook w:val="04A0" w:firstRow="1" w:lastRow="0" w:firstColumn="1" w:lastColumn="0" w:noHBand="0" w:noVBand="1"/>
      </w:tblPr>
      <w:tblGrid>
        <w:gridCol w:w="3255"/>
        <w:gridCol w:w="10693"/>
      </w:tblGrid>
      <w:tr w:rsidR="003B69B3" w14:paraId="4D83E8D9" w14:textId="77777777" w:rsidTr="00741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</w:tcPr>
          <w:p w14:paraId="533C8FE8" w14:textId="77777777" w:rsidR="003B69B3" w:rsidRPr="0074119F" w:rsidRDefault="00A45B49">
            <w:pPr>
              <w:rPr>
                <w:rFonts w:ascii="Arial" w:hAnsi="Arial" w:cs="Arial"/>
              </w:rPr>
            </w:pPr>
            <w:r w:rsidRPr="0074119F">
              <w:rPr>
                <w:rFonts w:ascii="Arial" w:hAnsi="Arial" w:cs="Arial"/>
              </w:rPr>
              <w:t xml:space="preserve">Area of need identified </w:t>
            </w:r>
          </w:p>
        </w:tc>
        <w:tc>
          <w:tcPr>
            <w:tcW w:w="3833" w:type="pct"/>
          </w:tcPr>
          <w:p w14:paraId="55698E46" w14:textId="77777777" w:rsidR="003B69B3" w:rsidRPr="0074119F" w:rsidRDefault="000E1D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119F">
              <w:rPr>
                <w:rFonts w:ascii="Arial" w:hAnsi="Arial" w:cs="Arial"/>
              </w:rPr>
              <w:t>Outline of identified nee</w:t>
            </w:r>
            <w:r w:rsidR="00A45B49" w:rsidRPr="0074119F">
              <w:rPr>
                <w:rFonts w:ascii="Arial" w:hAnsi="Arial" w:cs="Arial"/>
              </w:rPr>
              <w:t>d</w:t>
            </w:r>
            <w:r w:rsidRPr="0074119F">
              <w:rPr>
                <w:rFonts w:ascii="Arial" w:hAnsi="Arial" w:cs="Arial"/>
              </w:rPr>
              <w:t xml:space="preserve"> as identified by the academy – evidence of need</w:t>
            </w:r>
          </w:p>
        </w:tc>
      </w:tr>
      <w:tr w:rsidR="003B69B3" w14:paraId="746749FB" w14:textId="77777777" w:rsidTr="00741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</w:tcPr>
          <w:p w14:paraId="5888A95E" w14:textId="07947098" w:rsidR="003B69B3" w:rsidRDefault="00E83B47">
            <w:r>
              <w:t>Pupils phonics skills greatly reduced</w:t>
            </w:r>
          </w:p>
        </w:tc>
        <w:tc>
          <w:tcPr>
            <w:tcW w:w="3833" w:type="pct"/>
          </w:tcPr>
          <w:p w14:paraId="0DD66181" w14:textId="51BCE782" w:rsidR="003B69B3" w:rsidRDefault="00E83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Intense support for pupils to rapidly improve phonics ability and enable pupils to read. </w:t>
            </w:r>
          </w:p>
        </w:tc>
      </w:tr>
      <w:tr w:rsidR="003B69B3" w14:paraId="518DFADF" w14:textId="77777777" w:rsidTr="00741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</w:tcPr>
          <w:p w14:paraId="398E2443" w14:textId="4C3794FC" w:rsidR="003B69B3" w:rsidRDefault="00E83B47">
            <w:r>
              <w:t>Gaps in learning identified in all subjects</w:t>
            </w:r>
          </w:p>
        </w:tc>
        <w:tc>
          <w:tcPr>
            <w:tcW w:w="3833" w:type="pct"/>
          </w:tcPr>
          <w:p w14:paraId="1D11DE68" w14:textId="32F0D731" w:rsidR="003B69B3" w:rsidRDefault="00315F49" w:rsidP="0031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Rapidly fill the gaps in knowledge that have been identified in order to aid children to reach age related expectations</w:t>
            </w:r>
          </w:p>
        </w:tc>
      </w:tr>
      <w:tr w:rsidR="003B69B3" w14:paraId="1B790752" w14:textId="77777777" w:rsidTr="00741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</w:tcPr>
          <w:p w14:paraId="4EDE149A" w14:textId="2DD41ACE" w:rsidR="003B69B3" w:rsidRDefault="00E83B47">
            <w:r>
              <w:t>New Reception cohort very low starting points not school ready</w:t>
            </w:r>
          </w:p>
        </w:tc>
        <w:tc>
          <w:tcPr>
            <w:tcW w:w="3833" w:type="pct"/>
          </w:tcPr>
          <w:p w14:paraId="38C93EBF" w14:textId="59EC2E6A" w:rsidR="003B69B3" w:rsidRDefault="0031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Pupils unable to focus, wearing nappies and struggling to follow instructions</w:t>
            </w:r>
          </w:p>
        </w:tc>
      </w:tr>
      <w:tr w:rsidR="003B69B3" w14:paraId="5FEF5DA1" w14:textId="77777777" w:rsidTr="00741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</w:tcPr>
          <w:p w14:paraId="0D1A97C7" w14:textId="3B5C4F49" w:rsidR="003B69B3" w:rsidRDefault="00E83B47">
            <w:r>
              <w:t xml:space="preserve">Year 6 pupils gaps in knowledge impacting </w:t>
            </w:r>
            <w:r w:rsidR="00315F49">
              <w:t>upon Core subject outcomes</w:t>
            </w:r>
          </w:p>
        </w:tc>
        <w:tc>
          <w:tcPr>
            <w:tcW w:w="3833" w:type="pct"/>
          </w:tcPr>
          <w:p w14:paraId="503D6F9B" w14:textId="3B526F29" w:rsidR="003B69B3" w:rsidRDefault="0031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Pupils are not ready for Year 6 and the curricular challenges.  Many gaps identified in learning.  Need to ensure the pupils are secondary ready in time for transition </w:t>
            </w:r>
          </w:p>
        </w:tc>
      </w:tr>
      <w:tr w:rsidR="003B69B3" w14:paraId="67E625BD" w14:textId="77777777" w:rsidTr="00741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</w:tcPr>
          <w:p w14:paraId="7CE7DEE6" w14:textId="384F245B" w:rsidR="003B69B3" w:rsidRDefault="00E83B47">
            <w:r>
              <w:t>Pupil stamina greatly reduced</w:t>
            </w:r>
          </w:p>
        </w:tc>
        <w:tc>
          <w:tcPr>
            <w:tcW w:w="3833" w:type="pct"/>
          </w:tcPr>
          <w:p w14:paraId="665F0F98" w14:textId="162936CC" w:rsidR="003B69B3" w:rsidRDefault="00A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Children struggling to </w:t>
            </w:r>
            <w:r w:rsidR="00616510">
              <w:t>maintain focus</w:t>
            </w:r>
            <w:r w:rsidR="00ED5619">
              <w:t xml:space="preserve"> on learning, </w:t>
            </w:r>
            <w:r w:rsidR="00E41913">
              <w:t xml:space="preserve">concentration causing tiredness, extended pieces of writing and sustained work </w:t>
            </w:r>
            <w:r w:rsidR="00705359">
              <w:t>proving hard</w:t>
            </w:r>
            <w:r w:rsidR="003D1585">
              <w:t>.  Pupils stamina needs increasing</w:t>
            </w:r>
          </w:p>
        </w:tc>
      </w:tr>
      <w:tr w:rsidR="0053769A" w14:paraId="1F2AB5F4" w14:textId="77777777" w:rsidTr="00741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</w:tcPr>
          <w:p w14:paraId="79AF8E34" w14:textId="57576AE5" w:rsidR="0053769A" w:rsidRDefault="0053769A">
            <w:r>
              <w:t xml:space="preserve">Mental health </w:t>
            </w:r>
            <w:r w:rsidR="0010378E">
              <w:t>negatively impacted upon</w:t>
            </w:r>
          </w:p>
        </w:tc>
        <w:tc>
          <w:tcPr>
            <w:tcW w:w="3833" w:type="pct"/>
          </w:tcPr>
          <w:p w14:paraId="5EEF58B3" w14:textId="348DAFA4" w:rsidR="0053769A" w:rsidRDefault="00103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Pupils strugg</w:t>
            </w:r>
            <w:r w:rsidR="004D16A4">
              <w:t>l</w:t>
            </w:r>
            <w:r>
              <w:t xml:space="preserve">ing to process what has </w:t>
            </w:r>
            <w:r w:rsidR="004D16A4">
              <w:t>happened</w:t>
            </w:r>
            <w:r>
              <w:t xml:space="preserve"> and is happening to them, reassessing life and dealing with trauma including family deaths</w:t>
            </w:r>
            <w:r w:rsidR="004D16A4">
              <w:t xml:space="preserve">, </w:t>
            </w:r>
            <w:r>
              <w:t>chronic illness</w:t>
            </w:r>
            <w:r w:rsidR="004D16A4">
              <w:t xml:space="preserve"> and impact of poverty (parents suddenly with out income streams)</w:t>
            </w:r>
          </w:p>
        </w:tc>
      </w:tr>
    </w:tbl>
    <w:p w14:paraId="0342B69B" w14:textId="77777777" w:rsidR="003B69B3" w:rsidRDefault="003B69B3"/>
    <w:p w14:paraId="3163FDD9" w14:textId="77777777" w:rsidR="003B69B3" w:rsidRPr="0074119F" w:rsidRDefault="003B69B3" w:rsidP="00234CDC">
      <w:pPr>
        <w:spacing w:after="0" w:line="240" w:lineRule="auto"/>
        <w:rPr>
          <w:rFonts w:ascii="Arial" w:eastAsiaTheme="majorEastAsia" w:hAnsi="Arial" w:cs="Arial"/>
          <w:b/>
          <w:bCs/>
          <w:sz w:val="28"/>
          <w:szCs w:val="24"/>
        </w:rPr>
      </w:pPr>
      <w:r w:rsidRPr="0074119F">
        <w:rPr>
          <w:rFonts w:ascii="Arial" w:eastAsiaTheme="majorEastAsia" w:hAnsi="Arial" w:cs="Arial"/>
          <w:b/>
          <w:bCs/>
          <w:sz w:val="28"/>
          <w:szCs w:val="24"/>
        </w:rPr>
        <w:t>Planned expenditure on the areas identified by EEF</w:t>
      </w:r>
    </w:p>
    <w:p w14:paraId="640E47BF" w14:textId="77777777" w:rsidR="0074119F" w:rsidRPr="00234CDC" w:rsidRDefault="0074119F" w:rsidP="00234CDC">
      <w:pPr>
        <w:spacing w:after="0" w:line="240" w:lineRule="auto"/>
        <w:rPr>
          <w:rFonts w:asciiTheme="majorHAnsi" w:eastAsiaTheme="majorEastAsia" w:hAnsiTheme="majorHAnsi" w:cstheme="majorBidi"/>
          <w:i/>
          <w:iCs/>
          <w:sz w:val="26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677"/>
        <w:gridCol w:w="3931"/>
        <w:gridCol w:w="4127"/>
        <w:gridCol w:w="1366"/>
        <w:gridCol w:w="1847"/>
      </w:tblGrid>
      <w:tr w:rsidR="00E914E1" w:rsidRPr="0074119F" w14:paraId="2586C4A0" w14:textId="77777777" w:rsidTr="00160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14:paraId="12E35A08" w14:textId="77777777" w:rsidR="003B69B3" w:rsidRPr="0074119F" w:rsidRDefault="003B69B3">
            <w:pPr>
              <w:rPr>
                <w:rFonts w:ascii="Arial" w:hAnsi="Arial" w:cs="Arial"/>
              </w:rPr>
            </w:pPr>
            <w:r w:rsidRPr="0074119F">
              <w:rPr>
                <w:rFonts w:ascii="Arial" w:hAnsi="Arial" w:cs="Arial"/>
              </w:rPr>
              <w:lastRenderedPageBreak/>
              <w:t>Desired outcome</w:t>
            </w:r>
          </w:p>
        </w:tc>
        <w:tc>
          <w:tcPr>
            <w:tcW w:w="4120" w:type="dxa"/>
          </w:tcPr>
          <w:p w14:paraId="3701B11C" w14:textId="77777777" w:rsidR="003B69B3" w:rsidRPr="0074119F" w:rsidRDefault="003B69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119F">
              <w:rPr>
                <w:rFonts w:ascii="Arial" w:hAnsi="Arial" w:cs="Arial"/>
              </w:rPr>
              <w:t>Chosen approach and anticipated cost</w:t>
            </w:r>
          </w:p>
        </w:tc>
        <w:tc>
          <w:tcPr>
            <w:tcW w:w="4355" w:type="dxa"/>
          </w:tcPr>
          <w:p w14:paraId="56F44E98" w14:textId="77777777" w:rsidR="003B69B3" w:rsidRPr="0074119F" w:rsidRDefault="003B69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119F">
              <w:rPr>
                <w:rFonts w:ascii="Arial" w:hAnsi="Arial" w:cs="Arial"/>
              </w:rPr>
              <w:t>Impact (once reviewed)</w:t>
            </w:r>
          </w:p>
        </w:tc>
        <w:tc>
          <w:tcPr>
            <w:tcW w:w="796" w:type="dxa"/>
          </w:tcPr>
          <w:p w14:paraId="75780BBC" w14:textId="77777777" w:rsidR="003B69B3" w:rsidRPr="0074119F" w:rsidRDefault="003B69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119F">
              <w:rPr>
                <w:rFonts w:ascii="Arial" w:hAnsi="Arial" w:cs="Arial"/>
              </w:rPr>
              <w:t>Staff lead</w:t>
            </w:r>
            <w:r w:rsidR="00A45B49" w:rsidRPr="0074119F">
              <w:rPr>
                <w:rFonts w:ascii="Arial" w:hAnsi="Arial" w:cs="Arial"/>
              </w:rPr>
              <w:t>/owner</w:t>
            </w:r>
          </w:p>
        </w:tc>
        <w:tc>
          <w:tcPr>
            <w:tcW w:w="1904" w:type="dxa"/>
          </w:tcPr>
          <w:p w14:paraId="1967286E" w14:textId="77777777" w:rsidR="003B69B3" w:rsidRPr="0074119F" w:rsidRDefault="003B69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119F">
              <w:rPr>
                <w:rFonts w:ascii="Arial" w:hAnsi="Arial" w:cs="Arial"/>
              </w:rPr>
              <w:t>Review date</w:t>
            </w:r>
          </w:p>
        </w:tc>
      </w:tr>
      <w:tr w:rsidR="00E914E1" w14:paraId="767A0D5D" w14:textId="77777777" w:rsidTr="00160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14:paraId="3E31FE99" w14:textId="2F1131FA" w:rsidR="003B69B3" w:rsidRDefault="003D1585">
            <w:r>
              <w:t xml:space="preserve">Targeted work </w:t>
            </w:r>
            <w:r w:rsidR="00E52E88">
              <w:t>s</w:t>
            </w:r>
            <w:r>
              <w:t>upporting individuals and classes where needs emerge</w:t>
            </w:r>
            <w:r w:rsidR="00E52E88">
              <w:t xml:space="preserve"> across the school resulting in staff feeling confident</w:t>
            </w:r>
            <w:r w:rsidR="00FC0297">
              <w:t xml:space="preserve"> to address gaps in knowledge and pupils receiving bespoke targeted support</w:t>
            </w:r>
          </w:p>
        </w:tc>
        <w:tc>
          <w:tcPr>
            <w:tcW w:w="4120" w:type="dxa"/>
          </w:tcPr>
          <w:p w14:paraId="299D86B2" w14:textId="77777777" w:rsidR="003B69B3" w:rsidRDefault="00683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£20080</w:t>
            </w:r>
          </w:p>
          <w:p w14:paraId="3D2810BC" w14:textId="77777777" w:rsidR="00FC0297" w:rsidRDefault="00FC0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011092" w14:textId="6F281815" w:rsidR="00B50116" w:rsidRDefault="00B5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Employment of a Teach First student deployed in cla</w:t>
            </w:r>
            <w:r w:rsidR="00A55D53">
              <w:t>s</w:t>
            </w:r>
            <w:r>
              <w:t xml:space="preserve">s to enable consistent release and redeployment of </w:t>
            </w:r>
            <w:r w:rsidR="00E965B0">
              <w:t>a senior leader to impact on quality first teaching, accurate assessment of pupils needs and precise delivery of targeted interventions</w:t>
            </w:r>
            <w:r w:rsidR="00E52CB1">
              <w:t xml:space="preserve">.  </w:t>
            </w:r>
          </w:p>
        </w:tc>
        <w:tc>
          <w:tcPr>
            <w:tcW w:w="4355" w:type="dxa"/>
          </w:tcPr>
          <w:p w14:paraId="06E5747A" w14:textId="77777777" w:rsidR="003B69B3" w:rsidRDefault="003B6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6" w:type="dxa"/>
          </w:tcPr>
          <w:p w14:paraId="2BB23215" w14:textId="4B06F041" w:rsidR="003B69B3" w:rsidRDefault="00CB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EJ</w:t>
            </w:r>
            <w:r w:rsidR="0047681B">
              <w:t>, EW and AR</w:t>
            </w:r>
          </w:p>
        </w:tc>
        <w:tc>
          <w:tcPr>
            <w:tcW w:w="1904" w:type="dxa"/>
          </w:tcPr>
          <w:p w14:paraId="6E380739" w14:textId="32B6F62E" w:rsidR="003B69B3" w:rsidRDefault="00CB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Continual review in order to adapt to the changing coh</w:t>
            </w:r>
            <w:r w:rsidR="00A55D53">
              <w:t>o</w:t>
            </w:r>
            <w:r>
              <w:t xml:space="preserve">rt needs resulting from continued </w:t>
            </w:r>
            <w:r w:rsidR="00A55D53">
              <w:t>bubble closures and isolating children and staff members</w:t>
            </w:r>
          </w:p>
        </w:tc>
      </w:tr>
      <w:tr w:rsidR="00E914E1" w14:paraId="7D65E489" w14:textId="77777777" w:rsidTr="00160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14:paraId="435FAC22" w14:textId="3C76F408" w:rsidR="003B69B3" w:rsidRDefault="00A55D53">
            <w:r>
              <w:t>Targeted support in Years 5 and 6</w:t>
            </w:r>
            <w:r w:rsidR="00E875F2">
              <w:t xml:space="preserve"> </w:t>
            </w:r>
            <w:r w:rsidR="00C37AAA">
              <w:t>by</w:t>
            </w:r>
            <w:r w:rsidR="00E875F2">
              <w:t xml:space="preserve"> </w:t>
            </w:r>
            <w:r w:rsidR="00C37AAA">
              <w:t>additional capacity to the teaching team.  Bespoke interventions and catch up</w:t>
            </w:r>
            <w:r w:rsidR="001F66D6">
              <w:t xml:space="preserve"> programmes in place to accelerate learning and ensure pupils are secondary ready</w:t>
            </w:r>
            <w:r w:rsidR="00524F71">
              <w:t xml:space="preserve"> and increase pupils stamina</w:t>
            </w:r>
          </w:p>
        </w:tc>
        <w:tc>
          <w:tcPr>
            <w:tcW w:w="4120" w:type="dxa"/>
          </w:tcPr>
          <w:p w14:paraId="472A7916" w14:textId="0FCECB15" w:rsidR="001F66D6" w:rsidRDefault="00AE7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Pr="005F2D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3,060 </w:t>
            </w:r>
          </w:p>
          <w:p w14:paraId="485B7E3A" w14:textId="6CC1B6F8" w:rsidR="001F66D6" w:rsidRDefault="00E91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Redeployment of staff and</w:t>
            </w:r>
            <w:r w:rsidR="00EF2EB2">
              <w:t xml:space="preserve"> temporary</w:t>
            </w:r>
            <w:r>
              <w:t xml:space="preserve"> </w:t>
            </w:r>
            <w:r w:rsidR="00EF2EB2">
              <w:t xml:space="preserve">change to contractual hours in order to </w:t>
            </w:r>
            <w:r w:rsidR="005537C0">
              <w:t>deploy</w:t>
            </w:r>
            <w:r w:rsidR="00EF2EB2">
              <w:t xml:space="preserve"> additional qualified teacher</w:t>
            </w:r>
            <w:r w:rsidR="005537C0">
              <w:t xml:space="preserve"> in Year</w:t>
            </w:r>
            <w:r w:rsidR="00034E94">
              <w:t xml:space="preserve"> </w:t>
            </w:r>
            <w:r w:rsidR="005537C0">
              <w:t xml:space="preserve">6 to enable release of </w:t>
            </w:r>
            <w:r w:rsidR="00332E94">
              <w:t xml:space="preserve">key members of staff to devise and implement bespoke catch up sessions, to add to capacity and </w:t>
            </w:r>
            <w:r w:rsidR="00A27948">
              <w:t>continuity of quality first teaching</w:t>
            </w:r>
            <w:r w:rsidR="00FF350E">
              <w:t xml:space="preserve"> in upper key stage 2.</w:t>
            </w:r>
            <w:r w:rsidR="00A27948">
              <w:t xml:space="preserve"> Pupils</w:t>
            </w:r>
            <w:r w:rsidR="00254E72">
              <w:t xml:space="preserve"> receive one to one and small group sessions addressing emerging gaps in knowledge</w:t>
            </w:r>
            <w:r w:rsidR="005F5084">
              <w:t xml:space="preserve"> to facilitate rapid prog</w:t>
            </w:r>
            <w:r w:rsidR="00001C1B">
              <w:t>r</w:t>
            </w:r>
            <w:r w:rsidR="005F5084">
              <w:t>ess</w:t>
            </w:r>
          </w:p>
        </w:tc>
        <w:tc>
          <w:tcPr>
            <w:tcW w:w="4355" w:type="dxa"/>
          </w:tcPr>
          <w:p w14:paraId="790643CB" w14:textId="77777777" w:rsidR="003B69B3" w:rsidRDefault="003B6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6" w:type="dxa"/>
          </w:tcPr>
          <w:p w14:paraId="79FD904F" w14:textId="15472F01" w:rsidR="003B69B3" w:rsidRDefault="005F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EJ</w:t>
            </w:r>
            <w:r w:rsidR="00C25A1D">
              <w:t>, EW</w:t>
            </w:r>
            <w:r w:rsidR="000E1F4B">
              <w:t xml:space="preserve"> </w:t>
            </w:r>
          </w:p>
          <w:p w14:paraId="0B40219F" w14:textId="77777777" w:rsidR="005F5084" w:rsidRDefault="005F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63C2F4" w14:textId="0E75EFA4" w:rsidR="005F5084" w:rsidRDefault="005F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4" w:type="dxa"/>
          </w:tcPr>
          <w:p w14:paraId="0E3AB607" w14:textId="554865C1" w:rsidR="003B69B3" w:rsidRDefault="00001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Continual review in order to adapt to the changing cohort needs resulting from continued bubble closures and isolating children and staff members</w:t>
            </w:r>
          </w:p>
        </w:tc>
      </w:tr>
      <w:tr w:rsidR="00E914E1" w14:paraId="1410E77A" w14:textId="77777777" w:rsidTr="00160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14:paraId="48FD5A9B" w14:textId="0BE2B42F" w:rsidR="003B69B3" w:rsidRDefault="00D53CF7">
            <w:r>
              <w:t xml:space="preserve">Reception cohort to settle well and rapidly gain the confidence and skills needed to access the </w:t>
            </w:r>
            <w:r w:rsidR="003A1129">
              <w:t>Early Years environment appropriately and effectively.  Ea</w:t>
            </w:r>
            <w:r w:rsidR="003338DA">
              <w:t>rly</w:t>
            </w:r>
            <w:r w:rsidR="003A1129">
              <w:t xml:space="preserve"> learning skills including</w:t>
            </w:r>
            <w:r w:rsidR="00933CF3">
              <w:t xml:space="preserve"> toileting and</w:t>
            </w:r>
            <w:r w:rsidR="003A1129">
              <w:t xml:space="preserve"> social skills to be developed</w:t>
            </w:r>
            <w:r w:rsidR="003338DA">
              <w:t xml:space="preserve"> which will then promote effective learning in a free flow environment</w:t>
            </w:r>
            <w:r w:rsidR="00B71F21">
              <w:t>. Support to aid tran</w:t>
            </w:r>
            <w:r w:rsidR="00CE7765">
              <w:t>s</w:t>
            </w:r>
            <w:r w:rsidR="00B71F21">
              <w:t xml:space="preserve">ition from Reception to Year 1 including phonics support and catchup across </w:t>
            </w:r>
            <w:r w:rsidR="00FB16E6">
              <w:t xml:space="preserve">EY, KS1 and Year 3. </w:t>
            </w:r>
          </w:p>
        </w:tc>
        <w:tc>
          <w:tcPr>
            <w:tcW w:w="4120" w:type="dxa"/>
          </w:tcPr>
          <w:p w14:paraId="4A228447" w14:textId="79F20389" w:rsidR="000E1F4B" w:rsidRDefault="000E1F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£120 per day</w:t>
            </w:r>
          </w:p>
          <w:p w14:paraId="59F0FE28" w14:textId="0D532797" w:rsidR="000E1F4B" w:rsidRDefault="00306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Additional staff employed initially to aid transition  </w:t>
            </w:r>
          </w:p>
          <w:p w14:paraId="300411FF" w14:textId="2FE40718" w:rsidR="00B66CCD" w:rsidRDefault="00470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Change of roll for </w:t>
            </w:r>
            <w:r w:rsidR="00472FC3">
              <w:t>teacher in order</w:t>
            </w:r>
            <w:r>
              <w:t xml:space="preserve"> to aid transition to Reception </w:t>
            </w:r>
            <w:r w:rsidR="0046070A">
              <w:t>and transition to Year 1.  Bespoke recovery curriculum and</w:t>
            </w:r>
            <w:r w:rsidR="00557DA9">
              <w:t xml:space="preserve"> Yr1</w:t>
            </w:r>
            <w:r w:rsidR="0046070A">
              <w:t xml:space="preserve"> </w:t>
            </w:r>
            <w:r w:rsidR="004A1E1A">
              <w:t xml:space="preserve">operating according to EY framework to aid transition and enable pupils to meet ELG </w:t>
            </w:r>
            <w:r w:rsidR="00367B96">
              <w:t>ensuring Yr1 readiness</w:t>
            </w:r>
          </w:p>
          <w:p w14:paraId="3A89BB82" w14:textId="3D60A10E" w:rsidR="00B66CCD" w:rsidRDefault="00B66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55" w:type="dxa"/>
          </w:tcPr>
          <w:p w14:paraId="50EB43D7" w14:textId="77777777" w:rsidR="003B69B3" w:rsidRDefault="003B6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6" w:type="dxa"/>
          </w:tcPr>
          <w:p w14:paraId="6C96723C" w14:textId="7D8F05FC" w:rsidR="003B69B3" w:rsidRDefault="00367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</w:t>
            </w:r>
          </w:p>
        </w:tc>
        <w:tc>
          <w:tcPr>
            <w:tcW w:w="1904" w:type="dxa"/>
          </w:tcPr>
          <w:p w14:paraId="62A94D8C" w14:textId="7B01C9EF" w:rsidR="003B69B3" w:rsidRDefault="00DD3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Aut</w:t>
            </w:r>
            <w:r w:rsidR="002F0269">
              <w:t xml:space="preserve"> 1 </w:t>
            </w:r>
            <w:r w:rsidR="00BA4A20">
              <w:t>initially</w:t>
            </w:r>
            <w:r w:rsidR="002F0269">
              <w:t xml:space="preserve"> </w:t>
            </w:r>
          </w:p>
        </w:tc>
      </w:tr>
      <w:tr w:rsidR="00E914E1" w14:paraId="2E79C3DC" w14:textId="77777777" w:rsidTr="00160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14:paraId="678CF136" w14:textId="15297B6E" w:rsidR="003B69B3" w:rsidRDefault="00CE7765">
            <w:r>
              <w:t xml:space="preserve">Pupils returned to school having forgotten how to speak English and their phonics. </w:t>
            </w:r>
          </w:p>
        </w:tc>
        <w:tc>
          <w:tcPr>
            <w:tcW w:w="4120" w:type="dxa"/>
          </w:tcPr>
          <w:p w14:paraId="250E7FCF" w14:textId="74232636" w:rsidR="003B69B3" w:rsidRDefault="00C21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Staff redeployed in order to release phonics lead in order coordinate and run targeted phonics intervention groups and support across </w:t>
            </w:r>
            <w:r w:rsidR="0046070A">
              <w:t xml:space="preserve">EY, KS1 and Yr3. </w:t>
            </w:r>
          </w:p>
        </w:tc>
        <w:tc>
          <w:tcPr>
            <w:tcW w:w="4355" w:type="dxa"/>
          </w:tcPr>
          <w:p w14:paraId="3849DDD9" w14:textId="77777777" w:rsidR="003B69B3" w:rsidRDefault="003B6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6" w:type="dxa"/>
          </w:tcPr>
          <w:p w14:paraId="04D0A9C6" w14:textId="2C8F0040" w:rsidR="003B69B3" w:rsidRDefault="00E45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</w:t>
            </w:r>
          </w:p>
        </w:tc>
        <w:tc>
          <w:tcPr>
            <w:tcW w:w="1904" w:type="dxa"/>
          </w:tcPr>
          <w:p w14:paraId="540DBF89" w14:textId="77777777" w:rsidR="003B69B3" w:rsidRDefault="003B6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14E1" w14:paraId="4BB279EF" w14:textId="77777777" w:rsidTr="00160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14:paraId="105BA7A4" w14:textId="674CD952" w:rsidR="003B69B3" w:rsidRDefault="004D16A4">
            <w:r>
              <w:t xml:space="preserve">Pupils </w:t>
            </w:r>
            <w:r w:rsidR="00197E99">
              <w:t xml:space="preserve">mentally resilient and able to function appropriately </w:t>
            </w:r>
          </w:p>
        </w:tc>
        <w:tc>
          <w:tcPr>
            <w:tcW w:w="4120" w:type="dxa"/>
          </w:tcPr>
          <w:p w14:paraId="0FBB2F6E" w14:textId="778C6428" w:rsidR="00DB6461" w:rsidRDefault="005D6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£6000</w:t>
            </w:r>
          </w:p>
          <w:p w14:paraId="273AF474" w14:textId="4364DE91" w:rsidR="003B69B3" w:rsidRDefault="00197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Mentor </w:t>
            </w:r>
            <w:r w:rsidR="00BF50FE">
              <w:t>employed to work with identified individuals to help deal with trauma</w:t>
            </w:r>
            <w:r w:rsidR="00DB6461">
              <w:t xml:space="preserve">. </w:t>
            </w:r>
          </w:p>
        </w:tc>
        <w:tc>
          <w:tcPr>
            <w:tcW w:w="4355" w:type="dxa"/>
          </w:tcPr>
          <w:p w14:paraId="1BC0D09F" w14:textId="77777777" w:rsidR="003B69B3" w:rsidRDefault="003B6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6" w:type="dxa"/>
          </w:tcPr>
          <w:p w14:paraId="4F102C5E" w14:textId="566C8F37" w:rsidR="003B69B3" w:rsidRDefault="00E45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EW</w:t>
            </w:r>
          </w:p>
        </w:tc>
        <w:tc>
          <w:tcPr>
            <w:tcW w:w="1904" w:type="dxa"/>
          </w:tcPr>
          <w:p w14:paraId="3A82EC5D" w14:textId="77777777" w:rsidR="003B69B3" w:rsidRDefault="003B6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14E1" w14:paraId="084EFCC7" w14:textId="77777777" w:rsidTr="00160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14:paraId="18FCB0F9" w14:textId="77777777" w:rsidR="003B69B3" w:rsidRDefault="003B69B3"/>
        </w:tc>
        <w:tc>
          <w:tcPr>
            <w:tcW w:w="4120" w:type="dxa"/>
          </w:tcPr>
          <w:p w14:paraId="311E108E" w14:textId="77777777" w:rsidR="003B69B3" w:rsidRDefault="003B6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5" w:type="dxa"/>
          </w:tcPr>
          <w:p w14:paraId="696DF817" w14:textId="77777777" w:rsidR="003B69B3" w:rsidRDefault="003B6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6" w:type="dxa"/>
          </w:tcPr>
          <w:p w14:paraId="3AD388C3" w14:textId="77777777" w:rsidR="003B69B3" w:rsidRDefault="003B6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4" w:type="dxa"/>
          </w:tcPr>
          <w:p w14:paraId="603264B9" w14:textId="77777777" w:rsidR="003B69B3" w:rsidRDefault="003B6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09DCC9E" w14:textId="77777777" w:rsidR="0074119F" w:rsidRDefault="0074119F">
      <w:pPr>
        <w:rPr>
          <w:rFonts w:ascii="Arial" w:hAnsi="Arial" w:cs="Arial"/>
          <w:b/>
          <w:bCs/>
          <w:sz w:val="28"/>
          <w:szCs w:val="28"/>
        </w:rPr>
      </w:pPr>
    </w:p>
    <w:p w14:paraId="60BF9347" w14:textId="77777777" w:rsidR="0074119F" w:rsidRPr="0074119F" w:rsidRDefault="0074119F">
      <w:pPr>
        <w:rPr>
          <w:rFonts w:ascii="Arial" w:hAnsi="Arial" w:cs="Arial"/>
          <w:b/>
          <w:bCs/>
          <w:sz w:val="28"/>
          <w:szCs w:val="28"/>
        </w:rPr>
      </w:pPr>
      <w:r w:rsidRPr="0074119F">
        <w:rPr>
          <w:rFonts w:ascii="Arial" w:hAnsi="Arial" w:cs="Arial"/>
          <w:b/>
          <w:bCs/>
          <w:sz w:val="28"/>
          <w:szCs w:val="28"/>
        </w:rPr>
        <w:t>Covid-19 catch-up total</w:t>
      </w:r>
    </w:p>
    <w:tbl>
      <w:tblPr>
        <w:tblStyle w:val="GridTable5Dark-Accent2"/>
        <w:tblW w:w="5000" w:type="pct"/>
        <w:tblLook w:val="04A0" w:firstRow="1" w:lastRow="0" w:firstColumn="1" w:lastColumn="0" w:noHBand="0" w:noVBand="1"/>
      </w:tblPr>
      <w:tblGrid>
        <w:gridCol w:w="3596"/>
        <w:gridCol w:w="10352"/>
      </w:tblGrid>
      <w:tr w:rsidR="003B69B3" w14:paraId="71C2ECE7" w14:textId="77777777" w:rsidTr="00855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</w:tcPr>
          <w:p w14:paraId="3081E861" w14:textId="77777777" w:rsidR="003B69B3" w:rsidRPr="0074119F" w:rsidRDefault="006F6B37">
            <w:pPr>
              <w:rPr>
                <w:rFonts w:ascii="Arial" w:hAnsi="Arial" w:cs="Arial"/>
              </w:rPr>
            </w:pPr>
            <w:r w:rsidRPr="0074119F">
              <w:rPr>
                <w:rFonts w:ascii="Arial" w:hAnsi="Arial" w:cs="Arial"/>
              </w:rPr>
              <w:t>Covid catch up total</w:t>
            </w:r>
          </w:p>
        </w:tc>
        <w:tc>
          <w:tcPr>
            <w:tcW w:w="3711" w:type="pct"/>
            <w:shd w:val="clear" w:color="auto" w:fill="FBE4D5"/>
          </w:tcPr>
          <w:p w14:paraId="02BCA610" w14:textId="77777777" w:rsidR="003B69B3" w:rsidRDefault="003B69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1A3B589B" w14:textId="67FA7B41" w:rsidR="0074119F" w:rsidRDefault="003D22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£23140</w:t>
            </w:r>
          </w:p>
        </w:tc>
      </w:tr>
      <w:tr w:rsidR="003B69B3" w14:paraId="4AB9E119" w14:textId="77777777" w:rsidTr="00855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</w:tcPr>
          <w:p w14:paraId="5E074C68" w14:textId="77777777" w:rsidR="003B69B3" w:rsidRPr="0074119F" w:rsidRDefault="006F6B37">
            <w:pPr>
              <w:rPr>
                <w:rFonts w:ascii="Arial" w:hAnsi="Arial" w:cs="Arial"/>
              </w:rPr>
            </w:pPr>
            <w:r w:rsidRPr="0074119F">
              <w:rPr>
                <w:rFonts w:ascii="Arial" w:hAnsi="Arial" w:cs="Arial"/>
              </w:rPr>
              <w:t>Actual cost of interventions</w:t>
            </w:r>
          </w:p>
        </w:tc>
        <w:tc>
          <w:tcPr>
            <w:tcW w:w="3711" w:type="pct"/>
          </w:tcPr>
          <w:p w14:paraId="1AEE803A" w14:textId="4EBBF5FA" w:rsidR="0074119F" w:rsidRDefault="0016010E" w:rsidP="00306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Approx </w:t>
            </w:r>
            <w:r w:rsidR="003D220D">
              <w:t>£</w:t>
            </w:r>
            <w:r w:rsidR="00995F4A">
              <w:t>32</w:t>
            </w:r>
            <w:r w:rsidR="003D220D">
              <w:t>000</w:t>
            </w:r>
          </w:p>
        </w:tc>
      </w:tr>
      <w:tr w:rsidR="003B69B3" w14:paraId="5E09A901" w14:textId="77777777" w:rsidTr="008554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</w:tcPr>
          <w:p w14:paraId="57FD667B" w14:textId="77777777" w:rsidR="003B69B3" w:rsidRPr="0074119F" w:rsidRDefault="006F6B37">
            <w:pPr>
              <w:rPr>
                <w:rFonts w:ascii="Arial" w:hAnsi="Arial" w:cs="Arial"/>
              </w:rPr>
            </w:pPr>
            <w:r w:rsidRPr="0074119F">
              <w:rPr>
                <w:rFonts w:ascii="Arial" w:hAnsi="Arial" w:cs="Arial"/>
              </w:rPr>
              <w:t>Cost to academy to add extra opportunity linked to need</w:t>
            </w:r>
          </w:p>
        </w:tc>
        <w:tc>
          <w:tcPr>
            <w:tcW w:w="3711" w:type="pct"/>
            <w:shd w:val="clear" w:color="auto" w:fill="FBE4D5"/>
          </w:tcPr>
          <w:p w14:paraId="2F5153D4" w14:textId="01FF6799" w:rsidR="003B69B3" w:rsidRPr="008554EC" w:rsidRDefault="00160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£</w:t>
            </w:r>
            <w:r w:rsidR="00995F4A">
              <w:rPr>
                <w:b/>
                <w:bCs/>
                <w:color w:val="FFFFFF" w:themeColor="background1"/>
              </w:rPr>
              <w:t>8</w:t>
            </w:r>
            <w:r>
              <w:rPr>
                <w:b/>
                <w:bCs/>
                <w:color w:val="FFFFFF" w:themeColor="background1"/>
              </w:rPr>
              <w:t>860</w:t>
            </w:r>
          </w:p>
        </w:tc>
      </w:tr>
      <w:tr w:rsidR="003B69B3" w14:paraId="30AD92D0" w14:textId="77777777" w:rsidTr="00855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</w:tcPr>
          <w:p w14:paraId="33A58606" w14:textId="77777777" w:rsidR="003B69B3" w:rsidRPr="0074119F" w:rsidRDefault="006F6B37">
            <w:pPr>
              <w:rPr>
                <w:rFonts w:ascii="Arial" w:hAnsi="Arial" w:cs="Arial"/>
              </w:rPr>
            </w:pPr>
            <w:r w:rsidRPr="0074119F">
              <w:rPr>
                <w:rFonts w:ascii="Arial" w:hAnsi="Arial" w:cs="Arial"/>
              </w:rPr>
              <w:t>Total position of funds – impact on academy budget (if any)</w:t>
            </w:r>
          </w:p>
        </w:tc>
        <w:tc>
          <w:tcPr>
            <w:tcW w:w="3711" w:type="pct"/>
          </w:tcPr>
          <w:p w14:paraId="701354EA" w14:textId="106C9D12" w:rsidR="003B69B3" w:rsidRDefault="002C4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 costed in at present. </w:t>
            </w:r>
          </w:p>
        </w:tc>
      </w:tr>
    </w:tbl>
    <w:p w14:paraId="0DE60E81" w14:textId="77777777" w:rsidR="003B69B3" w:rsidRDefault="003B69B3" w:rsidP="008554EC"/>
    <w:sectPr w:rsidR="003B69B3" w:rsidSect="0074119F">
      <w:headerReference w:type="default" r:id="rId10"/>
      <w:footerReference w:type="default" r:id="rId11"/>
      <w:headerReference w:type="first" r:id="rId12"/>
      <w:pgSz w:w="16838" w:h="11906" w:orient="landscape"/>
      <w:pgMar w:top="1702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9BC52" w14:textId="77777777" w:rsidR="00B602F7" w:rsidRDefault="00B602F7" w:rsidP="00DE50B6">
      <w:pPr>
        <w:spacing w:after="0" w:line="240" w:lineRule="auto"/>
      </w:pPr>
      <w:r>
        <w:separator/>
      </w:r>
    </w:p>
  </w:endnote>
  <w:endnote w:type="continuationSeparator" w:id="0">
    <w:p w14:paraId="2A32C8BA" w14:textId="77777777" w:rsidR="00B602F7" w:rsidRDefault="00B602F7" w:rsidP="00DE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F6AC3" w14:textId="77777777" w:rsidR="00315F49" w:rsidRPr="00A912BF" w:rsidRDefault="00315F49">
    <w:pPr>
      <w:pStyle w:val="Footer"/>
      <w:rPr>
        <w:lang w:val="en-US"/>
      </w:rPr>
    </w:pPr>
    <w:r>
      <w:rPr>
        <w:lang w:val="en-US"/>
      </w:rPr>
      <w:t>Prepared by Philip Beaumont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>16/11/2020 –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9DD0E" w14:textId="77777777" w:rsidR="00B602F7" w:rsidRDefault="00B602F7" w:rsidP="00DE50B6">
      <w:pPr>
        <w:spacing w:after="0" w:line="240" w:lineRule="auto"/>
      </w:pPr>
      <w:r>
        <w:separator/>
      </w:r>
    </w:p>
  </w:footnote>
  <w:footnote w:type="continuationSeparator" w:id="0">
    <w:p w14:paraId="1F527770" w14:textId="77777777" w:rsidR="00B602F7" w:rsidRDefault="00B602F7" w:rsidP="00DE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26355" w14:textId="77777777" w:rsidR="00315F49" w:rsidRDefault="00315F49" w:rsidP="00C46A6C">
    <w:pPr>
      <w:pStyle w:val="Title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3549874" wp14:editId="3F697D32">
          <wp:simplePos x="0" y="0"/>
          <wp:positionH relativeFrom="column">
            <wp:posOffset>-685800</wp:posOffset>
          </wp:positionH>
          <wp:positionV relativeFrom="paragraph">
            <wp:posOffset>-220980</wp:posOffset>
          </wp:positionV>
          <wp:extent cx="1184275" cy="685165"/>
          <wp:effectExtent l="0" t="0" r="0" b="63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50B6">
      <w:t>Covid Catch</w:t>
    </w:r>
    <w:r>
      <w:t>-</w:t>
    </w:r>
    <w:r w:rsidRPr="00DE50B6">
      <w:t>up Premium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62D98" w14:textId="77777777" w:rsidR="00315F49" w:rsidRPr="0074119F" w:rsidRDefault="00315F49" w:rsidP="00C46A6C">
    <w:pPr>
      <w:pStyle w:val="Title"/>
      <w:jc w:val="center"/>
      <w:rPr>
        <w:rFonts w:ascii="Arial" w:hAnsi="Arial" w:cs="Arial"/>
      </w:rPr>
    </w:pPr>
    <w:r w:rsidRPr="0074119F">
      <w:rPr>
        <w:rFonts w:ascii="Arial" w:hAnsi="Arial" w:cs="Arial"/>
        <w:noProof/>
        <w:lang w:eastAsia="en-GB"/>
      </w:rPr>
      <w:drawing>
        <wp:anchor distT="0" distB="0" distL="114300" distR="114300" simplePos="0" relativeHeight="251660288" behindDoc="0" locked="0" layoutInCell="1" allowOverlap="1" wp14:anchorId="4CF4C5F3" wp14:editId="655ACC7F">
          <wp:simplePos x="0" y="0"/>
          <wp:positionH relativeFrom="column">
            <wp:posOffset>-685800</wp:posOffset>
          </wp:positionH>
          <wp:positionV relativeFrom="paragraph">
            <wp:posOffset>-220980</wp:posOffset>
          </wp:positionV>
          <wp:extent cx="1184275" cy="685165"/>
          <wp:effectExtent l="0" t="0" r="0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19F">
      <w:rPr>
        <w:rFonts w:ascii="Arial" w:hAnsi="Arial" w:cs="Arial"/>
      </w:rPr>
      <w:t>Covid Catch-up Premium</w:t>
    </w:r>
  </w:p>
  <w:p w14:paraId="6040066B" w14:textId="77777777" w:rsidR="00315F49" w:rsidRPr="00C46A6C" w:rsidRDefault="00315F49" w:rsidP="00C46A6C"/>
  <w:p w14:paraId="13432DC9" w14:textId="77777777" w:rsidR="00315F49" w:rsidRDefault="00315F49" w:rsidP="00C46A6C">
    <w:pPr>
      <w:pStyle w:val="Header"/>
    </w:pPr>
  </w:p>
  <w:p w14:paraId="1340359D" w14:textId="77777777" w:rsidR="00315F49" w:rsidRDefault="00315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6E2"/>
    <w:multiLevelType w:val="multilevel"/>
    <w:tmpl w:val="1806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3925D5"/>
    <w:multiLevelType w:val="multilevel"/>
    <w:tmpl w:val="4562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E6513"/>
    <w:multiLevelType w:val="multilevel"/>
    <w:tmpl w:val="A3E4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B3"/>
    <w:rsid w:val="00001C1B"/>
    <w:rsid w:val="000124D0"/>
    <w:rsid w:val="000129F2"/>
    <w:rsid w:val="00021998"/>
    <w:rsid w:val="00034E94"/>
    <w:rsid w:val="00036CE0"/>
    <w:rsid w:val="000E1D7F"/>
    <w:rsid w:val="000E1F4B"/>
    <w:rsid w:val="000E2265"/>
    <w:rsid w:val="000E6835"/>
    <w:rsid w:val="0010378E"/>
    <w:rsid w:val="0016010E"/>
    <w:rsid w:val="00197E99"/>
    <w:rsid w:val="001F25A7"/>
    <w:rsid w:val="001F3DE4"/>
    <w:rsid w:val="001F66D6"/>
    <w:rsid w:val="00223E48"/>
    <w:rsid w:val="00234CDC"/>
    <w:rsid w:val="00254E72"/>
    <w:rsid w:val="002C424E"/>
    <w:rsid w:val="002F0269"/>
    <w:rsid w:val="002F097B"/>
    <w:rsid w:val="00306B2A"/>
    <w:rsid w:val="00315F49"/>
    <w:rsid w:val="00316DCD"/>
    <w:rsid w:val="0032556F"/>
    <w:rsid w:val="00325F41"/>
    <w:rsid w:val="00332E94"/>
    <w:rsid w:val="003338DA"/>
    <w:rsid w:val="00367B96"/>
    <w:rsid w:val="00375237"/>
    <w:rsid w:val="003908E7"/>
    <w:rsid w:val="003A1129"/>
    <w:rsid w:val="003B69B3"/>
    <w:rsid w:val="003D1585"/>
    <w:rsid w:val="003D220D"/>
    <w:rsid w:val="00423E64"/>
    <w:rsid w:val="0046070A"/>
    <w:rsid w:val="0047061B"/>
    <w:rsid w:val="00472FC3"/>
    <w:rsid w:val="0047681B"/>
    <w:rsid w:val="004A1E1A"/>
    <w:rsid w:val="004D16A4"/>
    <w:rsid w:val="00524F71"/>
    <w:rsid w:val="00532DD8"/>
    <w:rsid w:val="0053769A"/>
    <w:rsid w:val="005537C0"/>
    <w:rsid w:val="00557DA9"/>
    <w:rsid w:val="005A101C"/>
    <w:rsid w:val="005D6B82"/>
    <w:rsid w:val="005E6E59"/>
    <w:rsid w:val="005F2D56"/>
    <w:rsid w:val="005F5084"/>
    <w:rsid w:val="006144A1"/>
    <w:rsid w:val="00616510"/>
    <w:rsid w:val="0068351D"/>
    <w:rsid w:val="0069795D"/>
    <w:rsid w:val="006F6B37"/>
    <w:rsid w:val="00705359"/>
    <w:rsid w:val="0074119F"/>
    <w:rsid w:val="00744E0A"/>
    <w:rsid w:val="00764263"/>
    <w:rsid w:val="007E021C"/>
    <w:rsid w:val="00847878"/>
    <w:rsid w:val="008554EC"/>
    <w:rsid w:val="008C07BB"/>
    <w:rsid w:val="008E0E82"/>
    <w:rsid w:val="00933CF3"/>
    <w:rsid w:val="00975EA9"/>
    <w:rsid w:val="00995F4A"/>
    <w:rsid w:val="00A01C65"/>
    <w:rsid w:val="00A27948"/>
    <w:rsid w:val="00A45B49"/>
    <w:rsid w:val="00A55D53"/>
    <w:rsid w:val="00A81DDE"/>
    <w:rsid w:val="00A912BF"/>
    <w:rsid w:val="00A94A9F"/>
    <w:rsid w:val="00AE7F34"/>
    <w:rsid w:val="00AF1EB6"/>
    <w:rsid w:val="00AF2419"/>
    <w:rsid w:val="00B50116"/>
    <w:rsid w:val="00B602F7"/>
    <w:rsid w:val="00B66CCD"/>
    <w:rsid w:val="00B71F21"/>
    <w:rsid w:val="00BA4A20"/>
    <w:rsid w:val="00BF50FE"/>
    <w:rsid w:val="00C01698"/>
    <w:rsid w:val="00C21828"/>
    <w:rsid w:val="00C25A1D"/>
    <w:rsid w:val="00C37AAA"/>
    <w:rsid w:val="00C46A6C"/>
    <w:rsid w:val="00CB4E86"/>
    <w:rsid w:val="00CC69C1"/>
    <w:rsid w:val="00CD7D60"/>
    <w:rsid w:val="00CE7765"/>
    <w:rsid w:val="00D53CF7"/>
    <w:rsid w:val="00D8336A"/>
    <w:rsid w:val="00DB6461"/>
    <w:rsid w:val="00DD39AD"/>
    <w:rsid w:val="00DE50B6"/>
    <w:rsid w:val="00E41913"/>
    <w:rsid w:val="00E42EEF"/>
    <w:rsid w:val="00E451F4"/>
    <w:rsid w:val="00E52CB1"/>
    <w:rsid w:val="00E52E88"/>
    <w:rsid w:val="00E83B47"/>
    <w:rsid w:val="00E875F2"/>
    <w:rsid w:val="00E914E1"/>
    <w:rsid w:val="00E965B0"/>
    <w:rsid w:val="00ED5619"/>
    <w:rsid w:val="00EF2EB2"/>
    <w:rsid w:val="00F00436"/>
    <w:rsid w:val="00F12DA8"/>
    <w:rsid w:val="00F678F5"/>
    <w:rsid w:val="00FB16E6"/>
    <w:rsid w:val="00FC0297"/>
    <w:rsid w:val="00FE4D15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3D7602"/>
  <w15:chartTrackingRefBased/>
  <w15:docId w15:val="{775191FE-9ADF-4234-B208-F9557248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E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E5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B6"/>
  </w:style>
  <w:style w:type="paragraph" w:styleId="Footer">
    <w:name w:val="footer"/>
    <w:basedOn w:val="Normal"/>
    <w:link w:val="FooterChar"/>
    <w:uiPriority w:val="99"/>
    <w:unhideWhenUsed/>
    <w:rsid w:val="00DE5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0B6"/>
  </w:style>
  <w:style w:type="paragraph" w:styleId="Title">
    <w:name w:val="Title"/>
    <w:basedOn w:val="Normal"/>
    <w:next w:val="Normal"/>
    <w:link w:val="TitleChar"/>
    <w:uiPriority w:val="10"/>
    <w:qFormat/>
    <w:rsid w:val="00DE50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50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3">
    <w:name w:val="Grid Table 4 Accent 3"/>
    <w:basedOn w:val="TableNormal"/>
    <w:uiPriority w:val="49"/>
    <w:rsid w:val="00234CD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3">
    <w:name w:val="Grid Table 3 Accent 3"/>
    <w:basedOn w:val="TableNormal"/>
    <w:uiPriority w:val="48"/>
    <w:rsid w:val="00234CD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PlainTable5">
    <w:name w:val="Plain Table 5"/>
    <w:basedOn w:val="TableNormal"/>
    <w:uiPriority w:val="45"/>
    <w:rsid w:val="00234C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4C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3">
    <w:name w:val="Grid Table 2 Accent 3"/>
    <w:basedOn w:val="TableNormal"/>
    <w:uiPriority w:val="47"/>
    <w:rsid w:val="00234CD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7Colorful">
    <w:name w:val="List Table 7 Colorful"/>
    <w:basedOn w:val="TableNormal"/>
    <w:uiPriority w:val="52"/>
    <w:rsid w:val="00234CD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5">
    <w:name w:val="Grid Table 2 Accent 5"/>
    <w:basedOn w:val="TableNormal"/>
    <w:uiPriority w:val="47"/>
    <w:rsid w:val="00234CD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234CD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234CD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234CD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8554E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4">
    <w:name w:val="Grid Table 4 Accent 4"/>
    <w:basedOn w:val="TableNormal"/>
    <w:uiPriority w:val="49"/>
    <w:rsid w:val="008554E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2">
    <w:name w:val="Grid Table 5 Dark Accent 2"/>
    <w:basedOn w:val="TableNormal"/>
    <w:uiPriority w:val="50"/>
    <w:rsid w:val="008554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14D5960EEB844B21358A51C232EFB" ma:contentTypeVersion="12" ma:contentTypeDescription="Create a new document." ma:contentTypeScope="" ma:versionID="3a858f347b67e0aa197fac5e23181baa">
  <xsd:schema xmlns:xsd="http://www.w3.org/2001/XMLSchema" xmlns:xs="http://www.w3.org/2001/XMLSchema" xmlns:p="http://schemas.microsoft.com/office/2006/metadata/properties" xmlns:ns3="92968bff-40e4-43de-8bc5-1969bab94b36" xmlns:ns4="58fc2d80-b0b1-43a7-9d34-6186424865b6" targetNamespace="http://schemas.microsoft.com/office/2006/metadata/properties" ma:root="true" ma:fieldsID="682a82aebf3d78fcee5f370e12ab7793" ns3:_="" ns4:_="">
    <xsd:import namespace="92968bff-40e4-43de-8bc5-1969bab94b36"/>
    <xsd:import namespace="58fc2d80-b0b1-43a7-9d34-6186424865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8bff-40e4-43de-8bc5-1969bab94b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c2d80-b0b1-43a7-9d34-6186424865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E9248B-2083-46AB-85BF-985EB6BFAE4F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92968bff-40e4-43de-8bc5-1969bab94b36"/>
    <ds:schemaRef ds:uri="http://purl.org/dc/dcmitype/"/>
    <ds:schemaRef ds:uri="http://schemas.microsoft.com/office/infopath/2007/PartnerControls"/>
    <ds:schemaRef ds:uri="58fc2d80-b0b1-43a7-9d34-6186424865b6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62F201A-1D78-4079-8A68-18583A37E5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62CF8-34D4-4ECE-95B2-3A66E28CB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68bff-40e4-43de-8bc5-1969bab94b36"/>
    <ds:schemaRef ds:uri="58fc2d80-b0b1-43a7-9d34-618642486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4938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Beaumont</dc:creator>
  <cp:keywords/>
  <dc:description/>
  <cp:lastModifiedBy>Emma Walker</cp:lastModifiedBy>
  <cp:revision>2</cp:revision>
  <dcterms:created xsi:type="dcterms:W3CDTF">2020-12-01T12:55:00Z</dcterms:created>
  <dcterms:modified xsi:type="dcterms:W3CDTF">2020-12-01T12:55:00Z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0x010100B5C14D5960EEB844B21358A51C232EFB</vt:lpwstr>
  </property>
</Properties>
</file>